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00"/>
      </w:pPr>
      <w:r>
        <w:rPr>
          <w:b/>
          <w:bCs/>
          <w:color w:val="0F1B3D"/>
          <w:sz w:val="44"/>
          <w:szCs w:val="44"/>
        </w:rPr>
        <w:t xml:space="preserve">STATEMENT OF WORK</w:t>
      </w:r>
    </w:p>
    <w:p>
      <w:pPr>
        <w:spacing w:after="120"/>
      </w:pPr>
      <w:r>
        <w:rPr>
          <w:color w:val="1E3A5F"/>
          <w:sz w:val="22"/>
          <w:szCs w:val="22"/>
        </w:rPr>
        <w:t xml:space="preserve">Engagement-ready SOW template — Font Digital LLC</w:t>
      </w:r>
    </w:p>
    <w:p>
      <w:pPr>
        <w:pBdr>
          <w:bottom w:val="single" w:color="3B6FA0" w:sz="12" w:space="4"/>
        </w:pBdr>
        <w:spacing w:after="260"/>
      </w:pPr>
      <w: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Client</w:t>
            </w:r>
          </w:p>
        </w:tc>
        <w:tc>
          <w:tcPr>
            <w:tcW w:type="dxa" w:w="504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Engagement</w:t>
            </w:r>
          </w:p>
        </w:tc>
      </w:tr>
      <w:tr>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Client legal name:</w:t>
            </w:r>
          </w:p>
        </w:tc>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SOW number:</w:t>
            </w:r>
          </w:p>
        </w:tc>
      </w:tr>
      <w:tr>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Client address:</w:t>
            </w:r>
          </w:p>
        </w:tc>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Effective date:</w:t>
            </w:r>
          </w:p>
        </w:tc>
      </w:tr>
      <w:tr>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Client contact / title:</w:t>
            </w:r>
          </w:p>
        </w:tc>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Governing MSA:</w:t>
            </w:r>
          </w:p>
        </w:tc>
      </w:tr>
      <w:tr>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Client email / phone:</w:t>
            </w:r>
          </w:p>
        </w:tc>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Font Digital delivery lead:</w:t>
            </w:r>
          </w:p>
        </w:tc>
      </w:tr>
    </w:tbl>
    <w:p>
      <w:pPr>
        <w:spacing w:after="200"/>
      </w:pPr>
      <w:r>
        <w:t xml:space="preserve"/>
      </w:r>
    </w:p>
    <w:p>
      <w:pPr>
        <w:pStyle w:val="Heading1"/>
      </w:pPr>
      <w:r>
        <w:t xml:space="preserve">1. Background &amp; Objectives</w:t>
      </w:r>
    </w:p>
    <w:p>
      <w:pPr>
        <w:spacing w:after="100"/>
      </w:pPr>
      <w:r>
        <w:t xml:space="preserve">Describe the business context, the problem being solved, and why now.</w:t>
      </w:r>
    </w:p>
    <w:p>
      <w:pPr>
        <w:pStyle w:val="Heading2"/>
      </w:pPr>
      <w:r>
        <w:t xml:space="preserve">Measurable objectives</w:t>
      </w:r>
    </w:p>
    <w:p>
      <w:pPr>
        <w:pStyle w:val="ListParagraph"/>
        <w:numPr>
          <w:ilvl w:val="0"/>
          <w:numId w:val="2"/>
        </w:numPr>
        <w:spacing w:after="60"/>
      </w:pPr>
      <w:r>
        <w:t xml:space="preserve">Objective 1 — KPI, baseline, target, target date</w:t>
      </w:r>
    </w:p>
    <w:p>
      <w:pPr>
        <w:pStyle w:val="ListParagraph"/>
        <w:numPr>
          <w:ilvl w:val="0"/>
          <w:numId w:val="2"/>
        </w:numPr>
        <w:spacing w:after="60"/>
      </w:pPr>
      <w:r>
        <w:t xml:space="preserve">Objective 2 — KPI, baseline, target, target date</w:t>
      </w:r>
    </w:p>
    <w:p>
      <w:pPr>
        <w:pStyle w:val="ListParagraph"/>
        <w:numPr>
          <w:ilvl w:val="0"/>
          <w:numId w:val="2"/>
        </w:numPr>
        <w:spacing w:after="60"/>
      </w:pPr>
      <w:r>
        <w:t xml:space="preserve">Objective 3 — KPI, baseline, target, target date</w:t>
      </w:r>
    </w:p>
    <w:p>
      <w:pPr>
        <w:pStyle w:val="Heading1"/>
      </w:pPr>
      <w:r>
        <w:t xml:space="preserve">2. Scope of Services</w:t>
      </w:r>
    </w:p>
    <w:p>
      <w:pPr>
        <w:pStyle w:val="Heading2"/>
      </w:pPr>
      <w:r>
        <w:t xml:space="preserve">In scope</w:t>
      </w:r>
    </w:p>
    <w:p>
      <w:pPr>
        <w:pStyle w:val="ListParagraph"/>
        <w:numPr>
          <w:ilvl w:val="0"/>
          <w:numId w:val="2"/>
        </w:numPr>
        <w:spacing w:after="60"/>
      </w:pPr>
      <w:r>
        <w:t xml:space="preserve">Discovery and requirements definition</w:t>
      </w:r>
    </w:p>
    <w:p>
      <w:pPr>
        <w:pStyle w:val="ListParagraph"/>
        <w:numPr>
          <w:ilvl w:val="0"/>
          <w:numId w:val="2"/>
        </w:numPr>
        <w:spacing w:after="60"/>
      </w:pPr>
      <w:r>
        <w:t xml:space="preserve">Solution architecture and design</w:t>
      </w:r>
    </w:p>
    <w:p>
      <w:pPr>
        <w:pStyle w:val="ListParagraph"/>
        <w:numPr>
          <w:ilvl w:val="0"/>
          <w:numId w:val="2"/>
        </w:numPr>
        <w:spacing w:after="60"/>
      </w:pPr>
      <w:r>
        <w:t xml:space="preserve">Build, integration, and data migration</w:t>
      </w:r>
    </w:p>
    <w:p>
      <w:pPr>
        <w:pStyle w:val="ListParagraph"/>
        <w:numPr>
          <w:ilvl w:val="0"/>
          <w:numId w:val="2"/>
        </w:numPr>
        <w:spacing w:after="60"/>
      </w:pPr>
      <w:r>
        <w:t xml:space="preserve">Testing, deployment, and enablement</w:t>
      </w:r>
    </w:p>
    <w:p>
      <w:pPr>
        <w:pStyle w:val="Heading2"/>
      </w:pPr>
      <w:r>
        <w:t xml:space="preserve">Out of scope</w:t>
      </w:r>
    </w:p>
    <w:p>
      <w:pPr>
        <w:pStyle w:val="ListParagraph"/>
        <w:numPr>
          <w:ilvl w:val="0"/>
          <w:numId w:val="2"/>
        </w:numPr>
        <w:spacing w:after="60"/>
      </w:pPr>
      <w:r>
        <w:t xml:space="preserve">Items explicitly excluded from this SOW</w:t>
      </w:r>
    </w:p>
    <w:p>
      <w:pPr>
        <w:pStyle w:val="Heading2"/>
      </w:pPr>
      <w:r>
        <w:t xml:space="preserve">Assumptions &amp; dependencies</w:t>
      </w:r>
    </w:p>
    <w:p>
      <w:pPr>
        <w:pStyle w:val="ListParagraph"/>
        <w:numPr>
          <w:ilvl w:val="0"/>
          <w:numId w:val="2"/>
        </w:numPr>
        <w:spacing w:after="60"/>
      </w:pPr>
      <w:r>
        <w:t xml:space="preserve">Client-provided environments, access, and SME availability</w:t>
      </w:r>
    </w:p>
    <w:p>
      <w:pPr>
        <w:pStyle w:val="ListParagraph"/>
        <w:numPr>
          <w:ilvl w:val="0"/>
          <w:numId w:val="2"/>
        </w:numPr>
        <w:spacing w:after="60"/>
      </w:pPr>
      <w:r>
        <w:t xml:space="preserve">Third-party licenses and vendor timelines</w:t>
      </w:r>
    </w:p>
    <w:p>
      <w:pPr>
        <w:pStyle w:val="Heading1"/>
      </w:pPr>
      <w:r>
        <w:t xml:space="preserve">3. Deliverables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40"/>
        <w:gridCol w:w="3000"/>
        <w:gridCol w:w="1600"/>
        <w:gridCol w:w="3400"/>
        <w:gridCol w:w="1440"/>
      </w:tblGrid>
      <w:tr>
        <w:trPr>
          <w:tblHeader/>
        </w:trPr>
        <w:tc>
          <w:tcPr>
            <w:tcW w:type="dxa" w:w="64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w:t>
            </w:r>
          </w:p>
        </w:tc>
        <w:tc>
          <w:tcPr>
            <w:tcW w:type="dxa" w:w="300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Deliverable</w:t>
            </w:r>
          </w:p>
        </w:tc>
        <w:tc>
          <w:tcPr>
            <w:tcW w:type="dxa" w:w="160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Format</w:t>
            </w:r>
          </w:p>
        </w:tc>
        <w:tc>
          <w:tcPr>
            <w:tcW w:type="dxa" w:w="340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Acceptance criteria</w:t>
            </w:r>
          </w:p>
        </w:tc>
        <w:tc>
          <w:tcPr>
            <w:tcW w:type="dxa" w:w="144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Due</w:t>
            </w:r>
          </w:p>
        </w:tc>
      </w:tr>
      <w:tr>
        <w:tc>
          <w:tcPr>
            <w:tcW w:type="dxa" w:w="6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1</w:t>
            </w:r>
          </w:p>
        </w:tc>
        <w:tc>
          <w:tcPr>
            <w:tcW w:type="dxa" w:w="30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6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4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r>
        <w:tc>
          <w:tcPr>
            <w:tcW w:type="dxa" w:w="6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2</w:t>
            </w:r>
          </w:p>
        </w:tc>
        <w:tc>
          <w:tcPr>
            <w:tcW w:type="dxa" w:w="30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6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4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r>
        <w:tc>
          <w:tcPr>
            <w:tcW w:type="dxa" w:w="6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3</w:t>
            </w:r>
          </w:p>
        </w:tc>
        <w:tc>
          <w:tcPr>
            <w:tcW w:type="dxa" w:w="30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6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4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r>
        <w:tc>
          <w:tcPr>
            <w:tcW w:type="dxa" w:w="6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4</w:t>
            </w:r>
          </w:p>
        </w:tc>
        <w:tc>
          <w:tcPr>
            <w:tcW w:type="dxa" w:w="30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6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4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bl>
    <w:p>
      <w:pPr>
        <w:spacing w:after="200"/>
      </w:pPr>
      <w:r>
        <w:t xml:space="preserve"/>
      </w:r>
    </w:p>
    <w:p>
      <w:pPr>
        <w:pStyle w:val="Heading1"/>
      </w:pPr>
      <w:r>
        <w:t xml:space="preserve">4. Timeline &amp; Milestones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1500"/>
        <w:gridCol w:w="1500"/>
        <w:gridCol w:w="3080"/>
        <w:gridCol w:w="1400"/>
      </w:tblGrid>
      <w:tr>
        <w:trPr>
          <w:tblHeader/>
        </w:trPr>
        <w:tc>
          <w:tcPr>
            <w:tcW w:type="dxa" w:w="260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Phase</w:t>
            </w:r>
          </w:p>
        </w:tc>
        <w:tc>
          <w:tcPr>
            <w:tcW w:type="dxa" w:w="150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Start</w:t>
            </w:r>
          </w:p>
        </w:tc>
        <w:tc>
          <w:tcPr>
            <w:tcW w:type="dxa" w:w="150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Finish</w:t>
            </w:r>
          </w:p>
        </w:tc>
        <w:tc>
          <w:tcPr>
            <w:tcW w:type="dxa" w:w="308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Milestone gate</w:t>
            </w:r>
          </w:p>
        </w:tc>
        <w:tc>
          <w:tcPr>
            <w:tcW w:type="dxa" w:w="140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Payment</w:t>
            </w:r>
          </w:p>
        </w:tc>
      </w:tr>
      <w:tr>
        <w:tc>
          <w:tcPr>
            <w:tcW w:type="dxa" w:w="26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5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5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0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r>
        <w:tc>
          <w:tcPr>
            <w:tcW w:type="dxa" w:w="26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5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5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0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r>
        <w:tc>
          <w:tcPr>
            <w:tcW w:type="dxa" w:w="26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5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5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0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r>
        <w:tc>
          <w:tcPr>
            <w:tcW w:type="dxa" w:w="26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5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5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0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1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bl>
    <w:p>
      <w:pPr>
        <w:spacing w:after="200"/>
      </w:pPr>
      <w:r>
        <w:t xml:space="preserve"/>
      </w:r>
    </w:p>
    <w:p>
      <w:pPr>
        <w:pStyle w:val="Heading1"/>
      </w:pPr>
      <w:r>
        <w:t xml:space="preserve">5. Team &amp; Roles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000"/>
        <w:gridCol w:w="3280"/>
      </w:tblGrid>
      <w:tr>
        <w:trPr>
          <w:tblHeader/>
        </w:trPr>
        <w:tc>
          <w:tcPr>
            <w:tcW w:type="dxa" w:w="240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Role</w:t>
            </w:r>
          </w:p>
        </w:tc>
        <w:tc>
          <w:tcPr>
            <w:tcW w:type="dxa" w:w="240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Name</w:t>
            </w:r>
          </w:p>
        </w:tc>
        <w:tc>
          <w:tcPr>
            <w:tcW w:type="dxa" w:w="200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Organization</w:t>
            </w:r>
          </w:p>
        </w:tc>
        <w:tc>
          <w:tcPr>
            <w:tcW w:type="dxa" w:w="328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Responsibility</w:t>
            </w:r>
          </w:p>
        </w:tc>
      </w:tr>
      <w:tr>
        <w:tc>
          <w:tcPr>
            <w:tcW w:type="dxa" w:w="2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2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20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2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r>
        <w:tc>
          <w:tcPr>
            <w:tcW w:type="dxa" w:w="2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2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20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2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r>
        <w:tc>
          <w:tcPr>
            <w:tcW w:type="dxa" w:w="2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2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20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2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r>
        <w:tc>
          <w:tcPr>
            <w:tcW w:type="dxa" w:w="2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2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20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2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r>
        <w:tc>
          <w:tcPr>
            <w:tcW w:type="dxa" w:w="2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24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20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c>
          <w:tcPr>
            <w:tcW w:type="dxa" w:w="32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bl>
    <w:p>
      <w:pPr>
        <w:spacing w:after="200"/>
      </w:pPr>
      <w:r>
        <w:t xml:space="preserve"/>
      </w:r>
    </w:p>
    <w:p>
      <w:pPr>
        <w:spacing w:after="100"/>
      </w:pPr>
      <w:r>
        <w:t xml:space="preserve">Escalation path: Delivery lead → Engagement manager → Executive sponsor. Response target: 1 business day.</w:t>
      </w:r>
    </w:p>
    <w:p>
      <w:pPr>
        <w:pStyle w:val="Heading1"/>
      </w:pPr>
      <w:r>
        <w:t xml:space="preserve">6. Project Governance</w:t>
      </w:r>
    </w:p>
    <w:p>
      <w:pPr>
        <w:pStyle w:val="ListParagraph"/>
        <w:numPr>
          <w:ilvl w:val="0"/>
          <w:numId w:val="2"/>
        </w:numPr>
        <w:spacing w:after="60"/>
      </w:pPr>
      <w:r>
        <w:t xml:space="preserve">Weekly status report and delivery dashboard</w:t>
      </w:r>
    </w:p>
    <w:p>
      <w:pPr>
        <w:pStyle w:val="ListParagraph"/>
        <w:numPr>
          <w:ilvl w:val="0"/>
          <w:numId w:val="2"/>
        </w:numPr>
        <w:spacing w:after="60"/>
      </w:pPr>
      <w:r>
        <w:t xml:space="preserve">Sprint demos every two weeks; monthly steering committee</w:t>
      </w:r>
    </w:p>
    <w:p>
      <w:pPr>
        <w:pStyle w:val="ListParagraph"/>
        <w:numPr>
          <w:ilvl w:val="0"/>
          <w:numId w:val="2"/>
        </w:numPr>
        <w:spacing w:after="60"/>
      </w:pPr>
      <w:r>
        <w:t xml:space="preserve">Tooling and communication channels (ticketing, repo, chat)</w:t>
      </w:r>
    </w:p>
    <w:p>
      <w:pPr>
        <w:pStyle w:val="ListParagraph"/>
        <w:numPr>
          <w:ilvl w:val="0"/>
          <w:numId w:val="2"/>
        </w:numPr>
        <w:spacing w:after="60"/>
      </w:pPr>
      <w:r>
        <w:t xml:space="preserve">Change control: all scope changes require a written change order signed by both parties</w:t>
      </w:r>
    </w:p>
    <w:p>
      <w:pPr>
        <w:pStyle w:val="Heading1"/>
      </w:pPr>
      <w:r>
        <w:t xml:space="preserve">7. Commercial Terms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00"/>
        <w:gridCol w:w="6880"/>
      </w:tblGrid>
      <w:tr>
        <w:trPr>
          <w:tblHeader/>
        </w:trPr>
        <w:tc>
          <w:tcPr>
            <w:tcW w:type="dxa" w:w="320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Item</w:t>
            </w:r>
          </w:p>
        </w:tc>
        <w:tc>
          <w:tcPr>
            <w:tcW w:type="dxa" w:w="688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Detail</w:t>
            </w:r>
          </w:p>
        </w:tc>
      </w:tr>
      <w:tr>
        <w:tc>
          <w:tcPr>
            <w:tcW w:type="dxa" w:w="32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Pricing model</w:t>
            </w:r>
          </w:p>
        </w:tc>
        <w:tc>
          <w:tcPr>
            <w:tcW w:type="dxa" w:w="68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Fixed fee / Time &amp; materials / Retainer</w:t>
            </w:r>
          </w:p>
        </w:tc>
      </w:tr>
      <w:tr>
        <w:tc>
          <w:tcPr>
            <w:tcW w:type="dxa" w:w="32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Total fees or rates</w:t>
            </w:r>
          </w:p>
        </w:tc>
        <w:tc>
          <w:tcPr>
            <w:tcW w:type="dxa" w:w="68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
            </w:r>
          </w:p>
        </w:tc>
      </w:tr>
      <w:tr>
        <w:tc>
          <w:tcPr>
            <w:tcW w:type="dxa" w:w="32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Expenses</w:t>
            </w:r>
          </w:p>
        </w:tc>
        <w:tc>
          <w:tcPr>
            <w:tcW w:type="dxa" w:w="68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Pre-approved, at cost</w:t>
            </w:r>
          </w:p>
        </w:tc>
      </w:tr>
      <w:tr>
        <w:tc>
          <w:tcPr>
            <w:tcW w:type="dxa" w:w="32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Invoicing schedule</w:t>
            </w:r>
          </w:p>
        </w:tc>
        <w:tc>
          <w:tcPr>
            <w:tcW w:type="dxa" w:w="68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Monthly / on milestone</w:t>
            </w:r>
          </w:p>
        </w:tc>
      </w:tr>
      <w:tr>
        <w:tc>
          <w:tcPr>
            <w:tcW w:type="dxa" w:w="320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Payment terms</w:t>
            </w:r>
          </w:p>
        </w:tc>
        <w:tc>
          <w:tcPr>
            <w:tcW w:type="dxa" w:w="688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Net 30</w:t>
            </w:r>
          </w:p>
        </w:tc>
      </w:tr>
    </w:tbl>
    <w:p>
      <w:pPr>
        <w:spacing w:after="200"/>
      </w:pPr>
      <w:r>
        <w:t xml:space="preserve"/>
      </w:r>
    </w:p>
    <w:p>
      <w:pPr>
        <w:pStyle w:val="Heading1"/>
      </w:pPr>
      <w:r>
        <w:t xml:space="preserve">8. Acceptance</w:t>
      </w:r>
    </w:p>
    <w:p>
      <w:pPr>
        <w:spacing w:after="100"/>
      </w:pPr>
      <w:r>
        <w:t xml:space="preserve">Client has five (5) business days from delivery to accept or reject in writing with specific reasons. Deliverables not rejected within the review window are deemed accepted.</w:t>
      </w:r>
    </w:p>
    <w:p>
      <w:pPr>
        <w:pStyle w:val="Heading1"/>
      </w:pPr>
      <w:r>
        <w:t xml:space="preserve">9. Security, Privacy &amp; Compliance</w:t>
      </w:r>
    </w:p>
    <w:p>
      <w:pPr>
        <w:pStyle w:val="ListParagraph"/>
        <w:numPr>
          <w:ilvl w:val="0"/>
          <w:numId w:val="2"/>
        </w:numPr>
        <w:spacing w:after="60"/>
      </w:pPr>
      <w:r>
        <w:t xml:space="preserve">Data classification and handling requirements</w:t>
      </w:r>
    </w:p>
    <w:p>
      <w:pPr>
        <w:pStyle w:val="ListParagraph"/>
        <w:numPr>
          <w:ilvl w:val="0"/>
          <w:numId w:val="2"/>
        </w:numPr>
        <w:spacing w:after="60"/>
      </w:pPr>
      <w:r>
        <w:t xml:space="preserve">Access provisioning, background checks, and clearances</w:t>
      </w:r>
    </w:p>
    <w:p>
      <w:pPr>
        <w:pStyle w:val="ListParagraph"/>
        <w:numPr>
          <w:ilvl w:val="0"/>
          <w:numId w:val="2"/>
        </w:numPr>
        <w:spacing w:after="60"/>
      </w:pPr>
      <w:r>
        <w:t xml:space="preserve">Applicable frameworks: SOC 2, HIPAA, NIST, FedRAMP, GDPR</w:t>
      </w:r>
    </w:p>
    <w:p>
      <w:pPr>
        <w:pStyle w:val="Heading1"/>
      </w:pPr>
      <w:r>
        <w:t xml:space="preserve">10. Intellectual Property</w:t>
      </w:r>
    </w:p>
    <w:p>
      <w:pPr>
        <w:spacing w:after="100"/>
      </w:pPr>
      <w:r>
        <w:t xml:space="preserve">Deliverables are assigned to Client upon full payment. Each party retains its pre-existing IP. Third-party and open-source components are licensed as listed in the deliverable documentation.</w:t>
      </w:r>
    </w:p>
    <w:p>
      <w:pPr>
        <w:pStyle w:val="Heading1"/>
      </w:pPr>
      <w:r>
        <w:t xml:space="preserve">11. Warranty &amp; Support</w:t>
      </w:r>
    </w:p>
    <w:p>
      <w:pPr>
        <w:spacing w:after="100"/>
      </w:pPr>
      <w:r>
        <w:t xml:space="preserve">Font Digital warrants deliverables will materially conform to the accepted acceptance criteria for thirty (30) days after acceptance. Post-launch support is available under a separate support schedule.</w:t>
      </w:r>
    </w:p>
    <w:p>
      <w:pPr>
        <w:pStyle w:val="Heading1"/>
      </w:pPr>
      <w:r>
        <w:t xml:space="preserve">12. Termination</w:t>
      </w:r>
    </w:p>
    <w:p>
      <w:pPr>
        <w:spacing w:after="100"/>
      </w:pPr>
      <w:r>
        <w:t xml:space="preserve">Either party may terminate for convenience with thirty (30) days written notice, or for uncured material breach with fifteen (15) days notice. Client pays for services performed and committed costs through the effective termination date.</w:t>
      </w:r>
    </w:p>
    <w:p>
      <w:pPr>
        <w:pStyle w:val="Heading1"/>
      </w:pPr>
      <w:r>
        <w:t xml:space="preserve">13. Signatures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Client</w:t>
            </w:r>
          </w:p>
        </w:tc>
        <w:tc>
          <w:tcPr>
            <w:tcW w:type="dxa" w:w="5040"/>
            <w:tcBorders>
              <w:top w:val="single" w:color="C7D2E0" w:sz="1"/>
              <w:left w:val="single" w:color="C7D2E0" w:sz="1"/>
              <w:bottom w:val="single" w:color="C7D2E0" w:sz="1"/>
              <w:right w:val="single" w:color="C7D2E0" w:sz="1"/>
            </w:tcBorders>
            <w:shd w:fill="0F1B3D" w:val="clear"/>
            <w:tcMar>
              <w:top w:type="dxa" w:w="90"/>
              <w:left w:type="dxa" w:w="140"/>
              <w:bottom w:type="dxa" w:w="90"/>
              <w:right w:type="dxa" w:w="140"/>
            </w:tcMar>
          </w:tcPr>
          <w:p>
            <w:r>
              <w:rPr>
                <w:b/>
                <w:bCs/>
                <w:color w:val="FFFFFF"/>
              </w:rPr>
              <w:t xml:space="preserve">Font Digital LLC</w:t>
            </w:r>
          </w:p>
        </w:tc>
      </w:tr>
      <w:tr>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Signature: ______________________</w:t>
            </w:r>
          </w:p>
        </w:tc>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Signature: ______________________</w:t>
            </w:r>
          </w:p>
        </w:tc>
      </w:tr>
      <w:tr>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Name / Title:</w:t>
            </w:r>
          </w:p>
        </w:tc>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Name / Title:</w:t>
            </w:r>
          </w:p>
        </w:tc>
      </w:tr>
      <w:tr>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Date:</w:t>
            </w:r>
          </w:p>
        </w:tc>
        <w:tc>
          <w:tcPr>
            <w:tcW w:type="dxa" w:w="5040"/>
            <w:tcBorders>
              <w:top w:val="single" w:color="C7D2E0" w:sz="1"/>
              <w:left w:val="single" w:color="C7D2E0" w:sz="1"/>
              <w:bottom w:val="single" w:color="C7D2E0" w:sz="1"/>
              <w:right w:val="single" w:color="C7D2E0" w:sz="1"/>
            </w:tcBorders>
            <w:shd w:fill="FFFFFF" w:val="clear"/>
            <w:tcMar>
              <w:top w:type="dxa" w:w="90"/>
              <w:left w:type="dxa" w:w="140"/>
              <w:bottom w:type="dxa" w:w="90"/>
              <w:right w:type="dxa" w:w="140"/>
            </w:tcMar>
          </w:tcPr>
          <w:p>
            <w:r>
              <w:rPr>
                <w:b w:val="false"/>
                <w:bCs w:val="false"/>
                <w:color w:val="1F2937"/>
              </w:rPr>
              <w:t xml:space="preserve">Date:</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E0" w:sz="4" w:space="6"/>
      </w:pBdr>
      <w:tabs>
        <w:tab w:val="right" w:pos="10080"/>
      </w:tabs>
    </w:pPr>
    <w:r>
      <w:rPr>
        <w:color w:val="6B7280"/>
        <w:sz w:val="16"/>
        <w:szCs w:val="16"/>
      </w:rPr>
      <w:t xml:space="preserve">Innovate · Transform · Succeed  |  fontdigital.com  |  info@fontdigital.com</w:t>
    </w:r>
    <w:r>
      <w:rPr>
        <w:color w:val="6B7280"/>
        <w:sz w:val="16"/>
        <w:szCs w:val="16"/>
      </w:rPr>
      <w:t xml:space="preserve">	Page </w:t>
    </w:r>
    <w:r>
      <w:rPr>
        <w:color w:val="6B7280"/>
        <w:sz w:val="16"/>
        <w:szCs w:val="16"/>
      </w:rPr>
      <w:fldChar w:fldCharType="begin"/>
      <w:instrText xml:space="preserve">PAGE</w:instrText>
      <w:fldChar w:fldCharType="separate"/>
      <w:fldChar w:fldCharType="end"/>
    </w:r>
    <w:r>
      <w:rPr>
        <w:color w:val="6B7280"/>
        <w:sz w:val="16"/>
        <w:szCs w:val="16"/>
      </w:rPr>
      <w:t xml:space="preserve"> of </w:t>
    </w:r>
    <w:r>
      <w:rPr>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B6FA0" w:sz="8" w:space="6"/>
      </w:pBdr>
      <w:tabs>
        <w:tab w:val="right" w:pos="10080"/>
      </w:tabs>
      <w:spacing w:after="60"/>
    </w:pPr>
    <w:r>
      <w:rPr>
        <w:b/>
        <w:bCs/>
        <w:color w:val="0F1B3D"/>
        <w:sz w:val="22"/>
        <w:szCs w:val="22"/>
      </w:rPr>
      <w:t xml:space="preserve">FONT </w:t>
    </w:r>
    <w:r>
      <w:rPr>
        <w:b/>
        <w:bCs/>
        <w:color w:val="3B6FA0"/>
        <w:sz w:val="22"/>
        <w:szCs w:val="22"/>
      </w:rPr>
      <w:t xml:space="preserve">DIGITAL</w:t>
    </w:r>
    <w:r>
      <w:rPr>
        <w:color w:val="6B7280"/>
        <w:sz w:val="16"/>
        <w:szCs w:val="16"/>
      </w:rPr>
      <w:t xml:space="preserve">  LLC</w:t>
    </w:r>
    <w:r>
      <w:rPr>
        <w:color w:val="6B7280"/>
        <w:sz w:val="16"/>
        <w:szCs w:val="16"/>
      </w:rPr>
      <w:t xml:space="preserve">	Statement of 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bullet"/>
      <w:lvlText w:val="☐"/>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7"/>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outlineLvl w:val="0"/>
    </w:pPr>
    <w:rPr>
      <w:rFonts w:ascii="Arial" w:cs="Arial" w:eastAsia="Arial" w:hAnsi="Arial"/>
      <w:b/>
      <w:bCs/>
      <w:color w:val="0F1B3D"/>
      <w:sz w:val="34"/>
      <w:szCs w:val="34"/>
    </w:rPr>
  </w:style>
  <w:style w:type="paragraph" w:styleId="Heading2">
    <w:name w:val="Heading 2"/>
    <w:basedOn w:val="Normal"/>
    <w:next w:val="Normal"/>
    <w:qFormat/>
    <w:pPr>
      <w:spacing w:after="120" w:before="300"/>
      <w:outlineLvl w:val="1"/>
    </w:pPr>
    <w:rPr>
      <w:rFonts w:ascii="Arial" w:cs="Arial" w:eastAsia="Arial" w:hAnsi="Arial"/>
      <w:b/>
      <w:bCs/>
      <w:color w:val="1E3A5F"/>
      <w:sz w:val="26"/>
      <w:szCs w:val="26"/>
    </w:rPr>
  </w:style>
  <w:style w:type="paragraph" w:styleId="Heading3">
    <w:name w:val="Heading 3"/>
    <w:basedOn w:val="Normal"/>
    <w:next w:val="Normal"/>
    <w:qFormat/>
    <w:pPr>
      <w:spacing w:after="80" w:before="200"/>
      <w:outlineLvl w:val="2"/>
    </w:pPr>
    <w:rPr>
      <w:rFonts w:ascii="Arial" w:cs="Arial" w:eastAsia="Arial" w:hAnsi="Arial"/>
      <w:b/>
      <w:bCs/>
      <w:color w:val="3B6FA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2026-08-03T15:37:39.013Z</dcterms:created>
  <dcterms:modified xsi:type="dcterms:W3CDTF">2026-08-03T15:37:39.014Z</dcterms:modified>
</cp:coreProperties>
</file>

<file path=docProps/custom.xml><?xml version="1.0" encoding="utf-8"?>
<Properties xmlns="http://schemas.openxmlformats.org/officeDocument/2006/custom-properties" xmlns:vt="http://schemas.openxmlformats.org/officeDocument/2006/docPropsVTypes"/>
</file>