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00"/>
      </w:pPr>
      <w:r>
        <w:rPr>
          <w:b/>
          <w:bCs/>
          <w:color w:val="0F1B3D"/>
          <w:sz w:val="44"/>
          <w:szCs w:val="44"/>
        </w:rPr>
        <w:t xml:space="preserve">STAFFING INTAKE CHECKLIST</w:t>
      </w:r>
    </w:p>
    <w:p>
      <w:pPr>
        <w:spacing w:after="120"/>
      </w:pPr>
      <w:r>
        <w:rPr>
          <w:color w:val="1E3A5F"/>
          <w:sz w:val="22"/>
          <w:szCs w:val="22"/>
        </w:rPr>
        <w:t xml:space="preserve">Role intake capture for a qualified shortlist in 48–72 hours</w:t>
      </w:r>
    </w:p>
    <w:p>
      <w:pPr>
        <w:pBdr>
          <w:bottom w:val="single" w:color="3B6FA0" w:sz="12" w:space="4"/>
        </w:pBdr>
        <w:spacing w:after="260"/>
      </w:pPr>
      <w: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rPr>
          <w:tblHeader/>
        </w:trPr>
        <w:tc>
          <w:tcPr>
            <w:tcW w:type="dxa" w:w="32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0F1B3D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Requisition</w:t>
            </w:r>
          </w:p>
        </w:tc>
        <w:tc>
          <w:tcPr>
            <w:tcW w:type="dxa" w:w="68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0F1B3D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Details</w:t>
            </w:r>
          </w:p>
        </w:tc>
      </w:tr>
      <w:tr>
        <w:tc>
          <w:tcPr>
            <w:tcW w:type="dxa" w:w="32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Role title / req ID</w:t>
            </w:r>
          </w:p>
        </w:tc>
        <w:tc>
          <w:tcPr>
            <w:tcW w:type="dxa" w:w="68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Hiring manager</w:t>
            </w:r>
          </w:p>
        </w:tc>
        <w:tc>
          <w:tcPr>
            <w:tcW w:type="dxa" w:w="68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Font Digital lead</w:t>
            </w:r>
          </w:p>
        </w:tc>
        <w:tc>
          <w:tcPr>
            <w:tcW w:type="dxa" w:w="68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Date of intake</w:t>
            </w:r>
          </w:p>
        </w:tc>
        <w:tc>
          <w:tcPr>
            <w:tcW w:type="dxa" w:w="68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Priority</w:t>
            </w:r>
          </w:p>
        </w:tc>
        <w:tc>
          <w:tcPr>
            <w:tcW w:type="dxa" w:w="68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Critical / High / Standard</w:t>
            </w:r>
          </w:p>
        </w:tc>
      </w:tr>
    </w:tbl>
    <w:p>
      <w:pPr>
        <w:spacing w:after="200"/>
      </w:pPr>
      <w:r>
        <w:t xml:space="preserve"/>
      </w:r>
    </w:p>
    <w:p>
      <w:pPr>
        <w:pStyle w:val="Heading1"/>
      </w:pPr>
      <w:r>
        <w:t xml:space="preserve">Role Basics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Practice area (Software, Cloud, DevOps, Security, Data &amp; AI, Salesforce, QA, PM, Marketing)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Number of openings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Engagement type: contract / contract-to-hire / direct hire / managed pod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Target start date and expected duration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Extension or conversion likelihood</w:t>
      </w:r>
    </w:p>
    <w:p>
      <w:pPr>
        <w:pStyle w:val="Heading1"/>
      </w:pPr>
      <w:r>
        <w:t xml:space="preserve">Work Model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Onsite / hybrid / fully remote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Work location(s) and required time-zone overlap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Travel expectations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Standard hours, on-call, or shift coverage</w:t>
      </w:r>
    </w:p>
    <w:p>
      <w:pPr>
        <w:pStyle w:val="Heading1"/>
      </w:pPr>
      <w:r>
        <w:t xml:space="preserve">Requirements</w:t>
      </w:r>
    </w:p>
    <w:p>
      <w:pPr>
        <w:pStyle w:val="Heading2"/>
      </w:pPr>
      <w:r>
        <w:t xml:space="preserve">Must-have skills (ranked)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3600"/>
        <w:gridCol w:w="1600"/>
        <w:gridCol w:w="4240"/>
      </w:tblGrid>
      <w:tr>
        <w:trPr>
          <w:tblHeader/>
        </w:trPr>
        <w:tc>
          <w:tcPr>
            <w:tcW w:type="dxa" w:w="64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0F1B3D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3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0F1B3D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Skill</w:t>
            </w:r>
          </w:p>
        </w:tc>
        <w:tc>
          <w:tcPr>
            <w:tcW w:type="dxa" w:w="1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0F1B3D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Min. years</w:t>
            </w:r>
          </w:p>
        </w:tc>
        <w:tc>
          <w:tcPr>
            <w:tcW w:type="dxa" w:w="424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0F1B3D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How it will be assessed</w:t>
            </w:r>
          </w:p>
        </w:tc>
      </w:tr>
      <w:tr>
        <w:tc>
          <w:tcPr>
            <w:tcW w:type="dxa" w:w="64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1</w:t>
            </w:r>
          </w:p>
        </w:tc>
        <w:tc>
          <w:tcPr>
            <w:tcW w:type="dxa" w:w="3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1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424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64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2</w:t>
            </w:r>
          </w:p>
        </w:tc>
        <w:tc>
          <w:tcPr>
            <w:tcW w:type="dxa" w:w="3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1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424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64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3</w:t>
            </w:r>
          </w:p>
        </w:tc>
        <w:tc>
          <w:tcPr>
            <w:tcW w:type="dxa" w:w="3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1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424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64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4</w:t>
            </w:r>
          </w:p>
        </w:tc>
        <w:tc>
          <w:tcPr>
            <w:tcW w:type="dxa" w:w="3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1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424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64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5</w:t>
            </w:r>
          </w:p>
        </w:tc>
        <w:tc>
          <w:tcPr>
            <w:tcW w:type="dxa" w:w="3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1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424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</w:tbl>
    <w:p>
      <w:pPr>
        <w:spacing w:after="20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Nice-to-have skills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Seniority level and total years of experience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Certifications (AWS, Azure, CISSP, Salesforce, PMP, etc.)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Domain experience (federal, healthcare, finance, retail)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Education requirements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Soft skills and team-fit criteria</w:t>
      </w:r>
    </w:p>
    <w:p>
      <w:pPr>
        <w:pStyle w:val="Heading1"/>
      </w:pPr>
      <w:r>
        <w:t xml:space="preserve">Compliance &amp; Access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Clearance level required and reciprocity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Background check / drug screen scope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Badging, fingerprinting, or facility access steps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Work authorization restrictions (W2, C2C, no sponsorship)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NDA, IP, and non-solicit requirements</w:t>
      </w:r>
    </w:p>
    <w:p>
      <w:pPr>
        <w:pStyle w:val="Heading1"/>
      </w:pPr>
      <w:r>
        <w:t xml:space="preserve">Commercials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6280"/>
      </w:tblGrid>
      <w:tr>
        <w:trPr>
          <w:tblHeader/>
        </w:trPr>
        <w:tc>
          <w:tcPr>
            <w:tcW w:type="dxa" w:w="38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0F1B3D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Item</w:t>
            </w:r>
          </w:p>
        </w:tc>
        <w:tc>
          <w:tcPr>
            <w:tcW w:type="dxa" w:w="62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0F1B3D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Detail</w:t>
            </w:r>
          </w:p>
        </w:tc>
      </w:tr>
      <w:tr>
        <w:tc>
          <w:tcPr>
            <w:tcW w:type="dxa" w:w="38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Bill rate range / salary band</w:t>
            </w:r>
          </w:p>
        </w:tc>
        <w:tc>
          <w:tcPr>
            <w:tcW w:type="dxa" w:w="62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Overtime policy</w:t>
            </w:r>
          </w:p>
        </w:tc>
        <w:tc>
          <w:tcPr>
            <w:tcW w:type="dxa" w:w="62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Expense handling</w:t>
            </w:r>
          </w:p>
        </w:tc>
        <w:tc>
          <w:tcPr>
            <w:tcW w:type="dxa" w:w="62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Conversion fee terms</w:t>
            </w:r>
          </w:p>
        </w:tc>
        <w:tc>
          <w:tcPr>
            <w:tcW w:type="dxa" w:w="62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>PO number / cost center / approver</w:t>
            </w:r>
          </w:p>
        </w:tc>
        <w:tc>
          <w:tcPr>
            <w:tcW w:type="dxa" w:w="62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</w:tbl>
    <w:p>
      <w:pPr>
        <w:spacing w:after="200"/>
      </w:pPr>
      <w:r>
        <w:t xml:space="preserve"/>
      </w:r>
    </w:p>
    <w:p>
      <w:pPr>
        <w:pStyle w:val="Heading1"/>
      </w:pPr>
      <w:r>
        <w:t xml:space="preserve">Interview Process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400"/>
        <w:gridCol w:w="3080"/>
        <w:gridCol w:w="3000"/>
      </w:tblGrid>
      <w:tr>
        <w:trPr>
          <w:tblHeader/>
        </w:trPr>
        <w:tc>
          <w:tcPr>
            <w:tcW w:type="dxa" w:w="1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0F1B3D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Round</w:t>
            </w:r>
          </w:p>
        </w:tc>
        <w:tc>
          <w:tcPr>
            <w:tcW w:type="dxa" w:w="24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0F1B3D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Format</w:t>
            </w:r>
          </w:p>
        </w:tc>
        <w:tc>
          <w:tcPr>
            <w:tcW w:type="dxa" w:w="30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0F1B3D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Interviewers</w:t>
            </w:r>
          </w:p>
        </w:tc>
        <w:tc>
          <w:tcPr>
            <w:tcW w:type="dxa" w:w="30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0F1B3D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Availability</w:t>
            </w:r>
          </w:p>
        </w:tc>
      </w:tr>
      <w:tr>
        <w:tc>
          <w:tcPr>
            <w:tcW w:type="dxa" w:w="1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24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30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30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24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30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30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24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30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30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24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30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  <w:tc>
          <w:tcPr>
            <w:tcW w:type="dxa" w:w="300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</w:tbl>
    <w:p>
      <w:pPr>
        <w:spacing w:after="20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Technical assessment or code challenge required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Target decision turnaround (days)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Feedback SLA to Font Digital</w:t>
      </w:r>
    </w:p>
    <w:p>
      <w:pPr>
        <w:pStyle w:val="Heading1"/>
      </w:pPr>
      <w:r>
        <w:t xml:space="preserve">Onboarding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Hardware and software provisioning owner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System/tool access list (repos, VPN, ticketing, cloud accounts)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Day-1 point of contact and orientation plan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30/60/90-day success measures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Timesheet and invoicing process</w:t>
      </w:r>
    </w:p>
    <w:p>
      <w:pPr>
        <w:pStyle w:val="Heading1"/>
      </w:pPr>
      <w:r>
        <w:t xml:space="preserve">Notes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rPr>
          <w:tblHeader/>
        </w:trPr>
        <w:tc>
          <w:tcPr>
            <w:tcW w:type="dxa" w:w="100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0F1B3D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Notes</w:t>
            </w:r>
          </w:p>
        </w:tc>
      </w:tr>
      <w:tr>
        <w:tc>
          <w:tcPr>
            <w:tcW w:type="dxa" w:w="100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100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  <w:tr>
        <w:tc>
          <w:tcPr>
            <w:tcW w:type="dxa" w:w="10080"/>
            <w:tcBorders>
              <w:top w:val="single" w:color="C7D2E0" w:sz="1"/>
              <w:left w:val="single" w:color="C7D2E0" w:sz="1"/>
              <w:bottom w:val="single" w:color="C7D2E0" w:sz="1"/>
              <w:right w:val="single" w:color="C7D2E0" w:sz="1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F2937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E0" w:sz="4" w:space="6"/>
      </w:pBdr>
      <w:tabs>
        <w:tab w:val="right" w:pos="10080"/>
      </w:tabs>
    </w:pPr>
    <w:r>
      <w:rPr>
        <w:color w:val="6B7280"/>
        <w:sz w:val="16"/>
        <w:szCs w:val="16"/>
      </w:rPr>
      <w:t xml:space="preserve">Innovate · Transform · Succeed  |  fontdigital.com  |  info@fontdigital.com</w:t>
    </w:r>
    <w:r>
      <w:rPr>
        <w:color w:val="6B7280"/>
        <w:sz w:val="16"/>
        <w:szCs w:val="16"/>
      </w:rPr>
      <w:t xml:space="preserve">	Page </w:t>
    </w:r>
    <w:r>
      <w:rPr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6"/>
        <w:szCs w:val="16"/>
      </w:rPr>
      <w:t xml:space="preserve"> of </w:t>
    </w:r>
    <w:r>
      <w:rPr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3B6FA0" w:sz="8" w:space="6"/>
      </w:pBdr>
      <w:tabs>
        <w:tab w:val="right" w:pos="10080"/>
      </w:tabs>
      <w:spacing w:after="60"/>
    </w:pPr>
    <w:r>
      <w:rPr>
        <w:b/>
        <w:bCs/>
        <w:color w:val="0F1B3D"/>
        <w:sz w:val="22"/>
        <w:szCs w:val="22"/>
      </w:rPr>
      <w:t xml:space="preserve">FONT </w:t>
    </w:r>
    <w:r>
      <w:rPr>
        <w:b/>
        <w:bCs/>
        <w:color w:val="3B6FA0"/>
        <w:sz w:val="22"/>
        <w:szCs w:val="22"/>
      </w:rPr>
      <w:t xml:space="preserve">DIGITAL</w:t>
    </w:r>
    <w:r>
      <w:rPr>
        <w:color w:val="6B7280"/>
        <w:sz w:val="16"/>
        <w:szCs w:val="16"/>
      </w:rPr>
      <w:t xml:space="preserve">  LLC</w:t>
    </w:r>
    <w:r>
      <w:rPr>
        <w:color w:val="6B7280"/>
        <w:sz w:val="16"/>
        <w:szCs w:val="16"/>
      </w:rPr>
      <w:t xml:space="preserve">	Staffing Intake 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2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520" w:hanging="2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7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  <w:outlineLvl w:val="0"/>
    </w:pPr>
    <w:rPr>
      <w:rFonts w:ascii="Arial" w:cs="Arial" w:eastAsia="Arial" w:hAnsi="Arial"/>
      <w:b/>
      <w:bCs/>
      <w:color w:val="0F1B3D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20" w:before="300"/>
      <w:outlineLvl w:val="1"/>
    </w:pPr>
    <w:rPr>
      <w:rFonts w:ascii="Arial" w:cs="Arial" w:eastAsia="Arial" w:hAnsi="Arial"/>
      <w:b/>
      <w:bCs/>
      <w:color w:val="1E3A5F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00"/>
      <w:outlineLvl w:val="2"/>
    </w:pPr>
    <w:rPr>
      <w:rFonts w:ascii="Arial" w:cs="Arial" w:eastAsia="Arial" w:hAnsi="Arial"/>
      <w:b/>
      <w:bCs/>
      <w:color w:val="3B6FA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2026-08-03T15:37:39.133Z</dcterms:created>
  <dcterms:modified xsi:type="dcterms:W3CDTF">2026-08-03T15:37:39.133Z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